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media/image1.png" ContentType="image/pn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>
          <w:rFonts w:eastAsia="" w:eastAsiaTheme="majorEastAsia"/>
          <w:bCs/>
          <w:szCs w:val="28"/>
          <w:lang w:eastAsia="en-US"/>
        </w:rPr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/>
        <w:drawing>
          <wp:inline distT="0" distB="0" distL="0" distR="0">
            <wp:extent cx="1104900" cy="375285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557" t="14600" r="0" b="161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>
          <w:rFonts w:eastAsia="" w:eastAsiaTheme="majorEastAsia"/>
          <w:bCs/>
          <w:szCs w:val="28"/>
          <w:lang w:eastAsia="en-US"/>
        </w:rPr>
        <w:t>Акционерное Общество</w:t>
      </w:r>
    </w:p>
    <w:p>
      <w:pPr>
        <w:pStyle w:val="Normal"/>
        <w:spacing w:lineRule="auto" w:line="240"/>
        <w:ind w:hanging="0"/>
        <w:jc w:val="center"/>
        <w:rPr>
          <w:rFonts w:eastAsia="Calibri" w:eastAsiaTheme="minorHAnsi"/>
          <w:szCs w:val="28"/>
          <w:lang w:eastAsia="en-US"/>
        </w:rPr>
      </w:pPr>
      <w:r>
        <w:rPr>
          <w:rFonts w:eastAsia="Calibri"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>
      <w:pPr>
        <w:pStyle w:val="Normal"/>
        <w:spacing w:lineRule="auto" w:line="240"/>
        <w:jc w:val="center"/>
        <w:rPr>
          <w:sz w:val="26"/>
          <w:szCs w:val="26"/>
        </w:rPr>
      </w:pPr>
      <w:bookmarkStart w:id="0" w:name="_Toc336885827"/>
      <w:bookmarkStart w:id="1" w:name="_Toc323988392"/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>
      <w:pPr>
        <w:pStyle w:val="Normal"/>
        <w:spacing w:lineRule="auto" w:line="240"/>
        <w:ind w:hanging="0"/>
        <w:jc w:val="center"/>
        <w:rPr>
          <w:rFonts w:cs="Arial"/>
          <w:b/>
          <w:bCs/>
          <w:iCs/>
          <w:spacing w:val="40"/>
          <w:sz w:val="26"/>
          <w:szCs w:val="26"/>
        </w:rPr>
      </w:pPr>
      <w:r>
        <w:rPr>
          <w:rFonts w:cs="Arial"/>
          <w:b/>
          <w:bCs/>
          <w:iCs/>
          <w:spacing w:val="40"/>
          <w:sz w:val="26"/>
          <w:szCs w:val="26"/>
        </w:rPr>
        <w:t xml:space="preserve">ПРОТОКОЛ </w:t>
      </w:r>
      <w:r>
        <w:rPr>
          <w:rFonts w:cs="Arial"/>
          <w:b/>
          <w:bCs/>
          <w:iCs/>
          <w:spacing w:val="40"/>
          <w:sz w:val="26"/>
          <w:szCs w:val="26"/>
        </w:rPr>
        <w:t>3-ВП</w:t>
      </w:r>
    </w:p>
    <w:p>
      <w:pPr>
        <w:pStyle w:val="BodyTextIndent2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Закупочной комиссии </w:t>
      </w:r>
      <w:r>
        <w:rPr>
          <w:b w:val="false"/>
          <w:bCs w:val="false"/>
          <w:szCs w:val="28"/>
        </w:rPr>
        <w:t xml:space="preserve">Аукцион (участниками которого могут быть только субъекты МСП) </w:t>
      </w:r>
    </w:p>
    <w:p>
      <w:pPr>
        <w:pStyle w:val="BodyTextIndent2"/>
        <w:jc w:val="center"/>
        <w:rPr>
          <w:b/>
          <w:bCs/>
          <w:szCs w:val="28"/>
        </w:rPr>
      </w:pPr>
      <w:r>
        <w:rPr>
          <w:b/>
          <w:bCs/>
          <w:szCs w:val="28"/>
        </w:rPr>
        <w:t>Лот 115601-РЕМ ПРОД-2025-ДРСК-ХЭС ОКПД2 42.22.22.140. Выполнение работ по капитальному ремонту ВЛ 0,4 кВ Николаевского района электрических сетей структурного подразделения "Северные электрические сети", филиала "Хабаровские электрические сети" (с учетом поставки и монтажа самонесущих изолированных и защищенных проводов)</w:t>
      </w:r>
    </w:p>
    <w:p>
      <w:pPr>
        <w:pStyle w:val="BodyTextIndent2"/>
        <w:jc w:val="center"/>
        <w:rPr>
          <w:b/>
          <w:bCs/>
          <w:sz w:val="24"/>
        </w:rPr>
      </w:pPr>
      <w:r>
        <w:rPr>
          <w:b/>
          <w:bCs/>
          <w:sz w:val="24"/>
        </w:rPr>
      </w:r>
    </w:p>
    <w:tbl>
      <w:tblPr>
        <w:tblStyle w:val="af2"/>
        <w:tblW w:w="989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firstRow="1" w:lastRow="0" w:firstColumn="1" w:lastColumn="0"/>
      </w:tblPr>
      <w:tblGrid>
        <w:gridCol w:w="2235"/>
        <w:gridCol w:w="4678"/>
        <w:gridCol w:w="2977"/>
      </w:tblGrid>
      <w:tr>
        <w:trPr>
          <w:trHeight w:val="469" w:hRule="atLeast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г. Благовещенск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601" w:right="317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3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.04.2025.</w:t>
            </w:r>
          </w:p>
        </w:tc>
      </w:tr>
    </w:tbl>
    <w:p>
      <w:pPr>
        <w:pStyle w:val="BodyTextIndent2"/>
        <w:ind w:hanging="0"/>
        <w:rPr>
          <w:b/>
          <w:bCs/>
          <w:sz w:val="24"/>
        </w:rPr>
      </w:pPr>
      <w:r>
        <w:rPr>
          <w:b/>
          <w:sz w:val="24"/>
        </w:rPr>
        <w:t>СПОСОБ И ПРЕДМЕТ ЗАКУПКИ:</w:t>
      </w:r>
      <w:r>
        <w:rPr>
          <w:sz w:val="24"/>
        </w:rPr>
        <w:t xml:space="preserve"> </w:t>
      </w:r>
      <w:r>
        <w:rPr>
          <w:b w:val="false"/>
          <w:bCs w:val="false"/>
          <w:sz w:val="24"/>
        </w:rPr>
        <w:t xml:space="preserve">Аукцион (участниками которого могут быть только субъекты МСП) </w:t>
      </w:r>
      <w:r>
        <w:rPr>
          <w:b/>
          <w:bCs/>
          <w:i w:val="false"/>
          <w:iCs w:val="false"/>
          <w:sz w:val="24"/>
        </w:rPr>
        <w:t>Лот 115601-РЕМ ПРОД-2025-ДРСК-ХЭС ОКПД2 42.22.22.140. Выполнение работ по капитальному ремонту ВЛ 0,4 кВ Николаевского района электрических сетей структурного подразделения "Северные электрические сети", филиала "Хабаровские электрические сети" (с учетом поставки и монтажа самонесущих изолированных и защищенных проводов)</w:t>
      </w:r>
    </w:p>
    <w:p>
      <w:pPr>
        <w:pStyle w:val="BodyTextIndent2"/>
        <w:ind w:hanging="0"/>
        <w:rPr>
          <w:b/>
          <w:sz w:val="24"/>
        </w:rPr>
      </w:pPr>
      <w:r>
        <w:rPr>
          <w:b/>
          <w:sz w:val="24"/>
        </w:rPr>
      </w:r>
    </w:p>
    <w:p>
      <w:pPr>
        <w:pStyle w:val="BodyTextIndent2"/>
        <w:ind w:hanging="0"/>
        <w:rPr>
          <w:sz w:val="24"/>
        </w:rPr>
      </w:pPr>
      <w:r>
        <w:rPr>
          <w:b/>
          <w:sz w:val="24"/>
        </w:rPr>
        <w:t>НМЦ ЛОТА (в соответствии с Извещением о закупке):</w:t>
      </w:r>
      <w:r>
        <w:rPr>
          <w:sz w:val="24"/>
        </w:rPr>
        <w:t xml:space="preserve"> 16 902 900,00  руб. без учета НДС.</w:t>
      </w:r>
    </w:p>
    <w:p>
      <w:pPr>
        <w:pStyle w:val="Normal"/>
        <w:spacing w:lineRule="auto" w:line="240"/>
        <w:ind w:right="-1" w:hanging="0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/>
        <w:ind w:right="-1" w:hanging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2 (две) </w:t>
      </w:r>
      <w:r>
        <w:rPr>
          <w:sz w:val="24"/>
          <w:szCs w:val="24"/>
        </w:rPr>
        <w:t>заявки</w:t>
      </w:r>
    </w:p>
    <w:p>
      <w:pPr>
        <w:pStyle w:val="Normal"/>
        <w:spacing w:lineRule="auto" w:line="240"/>
        <w:ind w:hanging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</w:r>
    </w:p>
    <w:tbl>
      <w:tblPr>
        <w:tblW w:w="5000" w:type="pct"/>
        <w:jc w:val="left"/>
        <w:tblInd w:w="0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noVBand="1" w:noHBand="0" w:lastColumn="0" w:firstColumn="1" w:lastRow="0" w:firstRow="1"/>
      </w:tblPr>
      <w:tblGrid>
        <w:gridCol w:w="282"/>
        <w:gridCol w:w="3336"/>
        <w:gridCol w:w="6019"/>
      </w:tblGrid>
      <w:tr>
        <w:trPr>
          <w:trHeight w:val="208" w:hRule="atLeast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/>
                <w:bCs/>
                <w:i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№</w:t>
            </w: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rFonts w:eastAsia="Calibri"/>
                <w:b/>
                <w:bCs/>
                <w:i/>
                <w:i/>
                <w:sz w:val="18"/>
                <w:szCs w:val="18"/>
                <w:lang w:eastAsia="en-US"/>
              </w:rPr>
            </w:pPr>
            <w:r>
              <w:rPr>
                <w:b/>
                <w:i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6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i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Идентификационный номер Участника.     </w:t>
            </w:r>
          </w:p>
        </w:tc>
      </w:tr>
      <w:tr>
        <w:trPr>
          <w:trHeight w:val="327" w:hRule="atLeast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widowControl w:val="false"/>
              <w:ind w:hanging="0"/>
              <w:rPr>
                <w:sz w:val="24"/>
              </w:rPr>
            </w:pPr>
            <w:r>
              <w:rPr>
                <w:sz w:val="24"/>
              </w:rPr>
              <w:t>17.03.2025 09:33:30 MCK</w:t>
            </w:r>
          </w:p>
        </w:tc>
        <w:tc>
          <w:tcPr>
            <w:tcW w:w="6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widowControl w:val="false"/>
              <w:ind w:hanging="0"/>
              <w:rPr>
                <w:sz w:val="24"/>
              </w:rPr>
            </w:pPr>
            <w:r>
              <w:rPr>
                <w:sz w:val="24"/>
              </w:rPr>
              <w:t>Заявка №365185</w:t>
            </w:r>
          </w:p>
        </w:tc>
      </w:tr>
      <w:tr>
        <w:trPr>
          <w:trHeight w:val="327" w:hRule="atLeast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widowControl w:val="false"/>
              <w:ind w:hanging="0"/>
              <w:rPr>
                <w:sz w:val="24"/>
              </w:rPr>
            </w:pPr>
            <w:r>
              <w:rPr>
                <w:sz w:val="24"/>
              </w:rPr>
              <w:t>18.03.2025 07:59:23 MCK</w:t>
            </w:r>
          </w:p>
        </w:tc>
        <w:tc>
          <w:tcPr>
            <w:tcW w:w="6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widowControl w:val="false"/>
              <w:ind w:hanging="0"/>
              <w:rPr>
                <w:sz w:val="24"/>
              </w:rPr>
            </w:pPr>
            <w:r>
              <w:rPr>
                <w:sz w:val="24"/>
              </w:rPr>
              <w:t>Заявка №365632</w:t>
            </w:r>
          </w:p>
        </w:tc>
      </w:tr>
    </w:tbl>
    <w:p>
      <w:pPr>
        <w:pStyle w:val="Normal"/>
        <w:spacing w:lineRule="auto" w:line="240"/>
        <w:ind w:hanging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ВОПРОСЫ, ВЫНОСИМЫЕ НА РАССМОТРЕНИЕ ЗАКУПОЧНОЙ КОМИССИИ:</w:t>
      </w:r>
    </w:p>
    <w:p>
      <w:pPr>
        <w:pStyle w:val="ListParagraph"/>
        <w:widowControl/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bCs/>
          <w:i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1. О рассмотрении результатов оценки ценовых предложений </w:t>
      </w:r>
    </w:p>
    <w:p>
      <w:pPr>
        <w:pStyle w:val="ListParagraph"/>
        <w:widowControl/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bCs/>
          <w:i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2. О признании заявок соответствующими условиям Документации о закупке по результатам рассмотрения ценовых предложений </w:t>
      </w:r>
    </w:p>
    <w:p>
      <w:pPr>
        <w:pStyle w:val="ListParagraph"/>
        <w:widowControl/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bCs/>
          <w:i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 xml:space="preserve">3. О ранжировке заявок </w:t>
      </w:r>
    </w:p>
    <w:p>
      <w:pPr>
        <w:pStyle w:val="ListParagraph"/>
        <w:widowControl/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bCs/>
          <w:i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4. О выборе победителя закупки</w:t>
      </w:r>
    </w:p>
    <w:p>
      <w:pPr>
        <w:pStyle w:val="Normal"/>
        <w:spacing w:lineRule="auto" w:line="240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widowControl w:val="false"/>
        <w:spacing w:lineRule="auto" w:line="240"/>
        <w:ind w:left="0" w:right="0" w:hanging="0"/>
        <w:rPr>
          <w:b/>
          <w:sz w:val="24"/>
          <w:szCs w:val="24"/>
        </w:rPr>
      </w:pPr>
      <w:r>
        <w:rPr>
          <w:b/>
          <w:bCs/>
          <w:iCs/>
          <w:sz w:val="24"/>
          <w:szCs w:val="24"/>
          <w:u w:val="single"/>
        </w:rPr>
        <w:t>ВОПРОС № 1.</w:t>
      </w:r>
      <w:r>
        <w:rPr>
          <w:b/>
          <w:bCs/>
          <w:iCs/>
          <w:sz w:val="24"/>
          <w:szCs w:val="24"/>
        </w:rPr>
        <w:t xml:space="preserve"> </w:t>
      </w:r>
      <w:r>
        <w:rPr>
          <w:b/>
          <w:sz w:val="24"/>
          <w:szCs w:val="24"/>
        </w:rPr>
        <w:t>О рассмотрении результатов оценки ценовых предложений</w:t>
      </w:r>
    </w:p>
    <w:p>
      <w:pPr>
        <w:pStyle w:val="Normal"/>
        <w:keepNext w:val="true"/>
        <w:spacing w:lineRule="auto" w:line="240"/>
        <w:ind w:left="0" w:right="0" w:hanging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>
      <w:pPr>
        <w:pStyle w:val="25"/>
        <w:numPr>
          <w:ilvl w:val="0"/>
          <w:numId w:val="7"/>
        </w:numPr>
        <w:tabs>
          <w:tab w:val="clear" w:pos="708"/>
          <w:tab w:val="left" w:pos="426" w:leader="none"/>
        </w:tabs>
        <w:ind w:left="0" w:right="0" w:firstLine="426"/>
        <w:rPr>
          <w:szCs w:val="24"/>
        </w:rPr>
      </w:pPr>
      <w:r>
        <w:rPr>
          <w:szCs w:val="24"/>
        </w:rPr>
        <w:t>Признать объем полученной информации достаточным для принятия решения.</w:t>
      </w:r>
    </w:p>
    <w:p>
      <w:pPr>
        <w:pStyle w:val="25"/>
        <w:numPr>
          <w:ilvl w:val="0"/>
          <w:numId w:val="8"/>
        </w:numPr>
        <w:tabs>
          <w:tab w:val="clear" w:pos="708"/>
          <w:tab w:val="left" w:pos="426" w:leader="none"/>
        </w:tabs>
        <w:ind w:left="0" w:right="0" w:firstLine="426"/>
        <w:rPr>
          <w:szCs w:val="24"/>
        </w:rPr>
      </w:pPr>
      <w:r>
        <w:rPr>
          <w:szCs w:val="24"/>
        </w:rPr>
        <w:t>Принять к рассмотрению ценовые предложения следующих участников: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3326"/>
        <w:gridCol w:w="3134"/>
        <w:gridCol w:w="2462"/>
      </w:tblGrid>
      <w:tr>
        <w:trPr>
          <w:tblHeader w:val="true"/>
          <w:trHeight w:val="618" w:hRule="atLeast"/>
        </w:trPr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spacing w:lineRule="auto" w:line="276" w:before="0" w:after="0"/>
              <w:ind w:left="0" w:right="0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 xml:space="preserve">№ </w:t>
            </w:r>
            <w:r>
              <w:rPr>
                <w:sz w:val="16"/>
                <w:szCs w:val="16"/>
                <w:lang w:eastAsia="en-US"/>
              </w:rPr>
              <w:t>п/п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spacing w:lineRule="auto" w:line="276" w:before="0" w:after="0"/>
              <w:ind w:left="0" w:right="0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 xml:space="preserve">Дата и время регистрации заявки </w:t>
            </w:r>
          </w:p>
        </w:tc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0" w:right="0" w:firstLine="3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Идентификационный номер Участника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left="0" w:right="0" w:firstLine="3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Цена заявки, руб. без НДС</w:t>
            </w:r>
          </w:p>
        </w:tc>
      </w:tr>
      <w:tr>
        <w:trPr>
          <w:trHeight w:val="274" w:hRule="atLeast"/>
        </w:trPr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4" w:leader="none"/>
              </w:tabs>
              <w:snapToGrid w:val="false"/>
              <w:spacing w:lineRule="auto" w:line="240"/>
              <w:ind w:left="0" w:right="0" w:hanging="0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6"/>
              <w:widowControl w:val="false"/>
              <w:spacing w:lineRule="auto" w:line="240"/>
              <w:ind w:hanging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17.03.2025 09:33:30 MCK</w:t>
            </w:r>
          </w:p>
        </w:tc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6"/>
              <w:widowControl w:val="false"/>
              <w:spacing w:lineRule="auto" w:line="240"/>
              <w:ind w:hanging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Заявка 365185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6"/>
              <w:widowControl w:val="false"/>
              <w:spacing w:lineRule="auto" w:line="24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16 733 871,00</w:t>
            </w:r>
          </w:p>
        </w:tc>
      </w:tr>
      <w:tr>
        <w:trPr>
          <w:trHeight w:val="279" w:hRule="atLeast"/>
        </w:trPr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4" w:leader="none"/>
              </w:tabs>
              <w:snapToGrid w:val="false"/>
              <w:spacing w:lineRule="auto" w:line="240"/>
              <w:ind w:left="0" w:right="0" w:hanging="0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6"/>
              <w:widowControl w:val="false"/>
              <w:spacing w:lineRule="auto" w:line="240"/>
              <w:ind w:hanging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18.03.2025 07:59:23 MCK</w:t>
            </w:r>
          </w:p>
        </w:tc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6"/>
              <w:widowControl w:val="false"/>
              <w:spacing w:lineRule="auto" w:line="240"/>
              <w:ind w:hanging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Заявка 365632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6"/>
              <w:widowControl w:val="false"/>
              <w:spacing w:lineRule="auto" w:line="24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16 818 385,50</w:t>
            </w:r>
          </w:p>
        </w:tc>
      </w:tr>
    </w:tbl>
    <w:p>
      <w:pPr>
        <w:pStyle w:val="Normal"/>
        <w:tabs>
          <w:tab w:val="clear" w:pos="708"/>
          <w:tab w:val="left" w:pos="5940" w:leader="none"/>
        </w:tabs>
        <w:spacing w:lineRule="auto" w:line="240"/>
        <w:ind w:left="0" w:right="0" w:hanging="0"/>
        <w:rPr>
          <w:b/>
          <w:spacing w:val="4"/>
          <w:sz w:val="24"/>
          <w:szCs w:val="24"/>
        </w:rPr>
      </w:pPr>
      <w:r>
        <w:rPr>
          <w:b/>
          <w:spacing w:val="4"/>
          <w:sz w:val="24"/>
          <w:szCs w:val="24"/>
        </w:rPr>
      </w:r>
    </w:p>
    <w:p>
      <w:pPr>
        <w:pStyle w:val="BodyTextIndent2"/>
        <w:widowControl w:val="false"/>
        <w:ind w:left="0" w:right="0" w:hanging="0"/>
        <w:rPr>
          <w:b/>
          <w:bCs/>
          <w:i/>
          <w:i/>
          <w:iCs/>
          <w:sz w:val="24"/>
        </w:rPr>
      </w:pPr>
      <w:r>
        <w:rPr>
          <w:b/>
          <w:bCs/>
          <w:i/>
          <w:iCs/>
          <w:sz w:val="24"/>
        </w:rPr>
        <w:t>ВОПРОС №2 О признании заявок соответствующими условиям Документации о закупке по результатам рассмотрения ценовых предложений</w:t>
      </w:r>
    </w:p>
    <w:p>
      <w:pPr>
        <w:pStyle w:val="Normal"/>
        <w:widowControl w:val="false"/>
        <w:spacing w:lineRule="auto" w:line="240"/>
        <w:ind w:left="0" w:right="0" w:hanging="0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>
      <w:pPr>
        <w:pStyle w:val="25"/>
        <w:widowControl w:val="false"/>
        <w:numPr>
          <w:ilvl w:val="3"/>
          <w:numId w:val="2"/>
        </w:numPr>
        <w:tabs>
          <w:tab w:val="clear" w:pos="708"/>
          <w:tab w:val="left" w:pos="426" w:leader="none"/>
          <w:tab w:val="left" w:pos="1134" w:leader="none"/>
        </w:tabs>
        <w:ind w:left="0" w:right="0" w:firstLine="709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Признать ценовые предложения следующих Участников:</w:t>
      </w:r>
      <w:r>
        <w:rPr>
          <w:b/>
          <w:sz w:val="24"/>
          <w:szCs w:val="24"/>
        </w:rPr>
        <w:t xml:space="preserve"> 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7"/>
      </w:tblGrid>
      <w:tr>
        <w:trPr>
          <w:trHeight w:val="214" w:hRule="atLeast"/>
        </w:trPr>
        <w:tc>
          <w:tcPr>
            <w:tcW w:w="9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6"/>
              <w:widowControl w:val="false"/>
              <w:spacing w:lineRule="auto" w:line="240"/>
              <w:ind w:hanging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Заявка 365185</w:t>
            </w:r>
          </w:p>
        </w:tc>
      </w:tr>
      <w:tr>
        <w:trPr>
          <w:trHeight w:val="214" w:hRule="atLeast"/>
        </w:trPr>
        <w:tc>
          <w:tcPr>
            <w:tcW w:w="9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6"/>
              <w:widowControl w:val="false"/>
              <w:spacing w:lineRule="auto" w:line="240"/>
              <w:ind w:hanging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Заявка 365632</w:t>
            </w:r>
          </w:p>
        </w:tc>
      </w:tr>
    </w:tbl>
    <w:p>
      <w:pPr>
        <w:pStyle w:val="25"/>
        <w:widowControl w:val="false"/>
        <w:tabs>
          <w:tab w:val="clear" w:pos="708"/>
          <w:tab w:val="left" w:pos="426" w:leader="none"/>
          <w:tab w:val="left" w:pos="1134" w:leader="none"/>
        </w:tabs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удовлетворяющими по существу условиям Документации о закупке и принять их к дальнейшему рассмотрению</w:t>
      </w:r>
    </w:p>
    <w:p>
      <w:pPr>
        <w:pStyle w:val="Normal"/>
        <w:widowControl w:val="false"/>
        <w:tabs>
          <w:tab w:val="clear" w:pos="708"/>
          <w:tab w:val="left" w:pos="5940" w:leader="none"/>
        </w:tabs>
        <w:spacing w:lineRule="auto" w:line="240"/>
        <w:ind w:left="0" w:right="0" w:hanging="0"/>
        <w:rPr>
          <w:rFonts w:ascii="Times New Roman" w:hAnsi="Times New Roman"/>
          <w:b/>
          <w:spacing w:val="4"/>
          <w:sz w:val="24"/>
          <w:szCs w:val="24"/>
        </w:rPr>
      </w:pPr>
      <w:r>
        <w:rPr>
          <w:b/>
          <w:spacing w:val="4"/>
          <w:sz w:val="24"/>
          <w:szCs w:val="24"/>
        </w:rPr>
      </w:r>
    </w:p>
    <w:p>
      <w:pPr>
        <w:pStyle w:val="BodyTextIndent2"/>
        <w:widowControl w:val="false"/>
        <w:ind w:left="0" w:right="0" w:hanging="0"/>
        <w:rPr>
          <w:b/>
          <w:bCs/>
          <w:i/>
          <w:i/>
          <w:iCs/>
          <w:sz w:val="24"/>
        </w:rPr>
      </w:pPr>
      <w:r>
        <w:rPr>
          <w:b/>
          <w:bCs/>
          <w:i/>
          <w:iCs/>
          <w:sz w:val="24"/>
        </w:rPr>
        <w:t>ВОПРОС №3  О ранжировке заявок</w:t>
      </w:r>
    </w:p>
    <w:p>
      <w:pPr>
        <w:pStyle w:val="Normal"/>
        <w:widowControl w:val="false"/>
        <w:spacing w:lineRule="auto" w:line="240"/>
        <w:ind w:left="0" w:right="0" w:hanging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>
      <w:pPr>
        <w:pStyle w:val="25"/>
        <w:widowControl w:val="false"/>
        <w:tabs>
          <w:tab w:val="clear" w:pos="708"/>
          <w:tab w:val="left" w:pos="426" w:leader="none"/>
        </w:tabs>
        <w:ind w:left="567" w:right="0" w:hanging="0"/>
        <w:rPr>
          <w:szCs w:val="24"/>
        </w:rPr>
      </w:pPr>
      <w:r>
        <w:rPr>
          <w:szCs w:val="24"/>
        </w:rPr>
        <w:t>Утвердить ранжировку заявок:</w:t>
      </w:r>
    </w:p>
    <w:tbl>
      <w:tblPr>
        <w:tblW w:w="9630" w:type="dxa"/>
        <w:jc w:val="left"/>
        <w:tblInd w:w="-5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</w:tblPr>
      <w:tblGrid>
        <w:gridCol w:w="2090"/>
        <w:gridCol w:w="3463"/>
        <w:gridCol w:w="4077"/>
      </w:tblGrid>
      <w:tr>
        <w:trPr/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hanging="0"/>
              <w:jc w:val="center"/>
              <w:rPr>
                <w:rFonts w:cs="Times New Roman"/>
                <w:i/>
                <w:i/>
                <w:kern w:val="0"/>
                <w:sz w:val="20"/>
                <w:szCs w:val="24"/>
                <w:lang w:val="ru-RU" w:eastAsia="en-US" w:bidi="ar-SA"/>
              </w:rPr>
            </w:pPr>
            <w:r>
              <w:rPr>
                <w:rFonts w:cs="Times New Roman"/>
                <w:i/>
                <w:kern w:val="0"/>
                <w:sz w:val="20"/>
                <w:szCs w:val="24"/>
                <w:lang w:val="ru-RU" w:eastAsia="en-US" w:bidi="ar-SA"/>
              </w:rPr>
              <w:t>Место в ранжировке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34"/>
              <w:jc w:val="center"/>
              <w:rPr>
                <w:rFonts w:cs="Times New Roman"/>
                <w:kern w:val="0"/>
                <w:sz w:val="20"/>
                <w:szCs w:val="24"/>
                <w:lang w:val="ru-RU" w:eastAsia="en-US" w:bidi="ar-SA"/>
              </w:rPr>
            </w:pPr>
            <w:r>
              <w:rPr>
                <w:rFonts w:cs="Times New Roman"/>
                <w:kern w:val="0"/>
                <w:sz w:val="20"/>
                <w:szCs w:val="24"/>
                <w:lang w:val="ru-RU" w:eastAsia="en-US" w:bidi="ar-SA"/>
              </w:rPr>
              <w:t>Идентификационный номер Участника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hanging="0"/>
              <w:jc w:val="center"/>
              <w:rPr>
                <w:rFonts w:cs="Times New Roman"/>
                <w:i/>
                <w:i/>
                <w:kern w:val="0"/>
                <w:sz w:val="20"/>
                <w:szCs w:val="24"/>
                <w:lang w:val="ru-RU" w:eastAsia="en-US" w:bidi="ar-SA"/>
              </w:rPr>
            </w:pPr>
            <w:r>
              <w:rPr>
                <w:rFonts w:cs="Times New Roman"/>
                <w:i/>
                <w:kern w:val="0"/>
                <w:sz w:val="20"/>
                <w:szCs w:val="24"/>
                <w:lang w:val="ru-RU" w:eastAsia="en-US" w:bidi="ar-SA"/>
              </w:rPr>
              <w:t xml:space="preserve">Итоговая цена заявки, </w:t>
              <w:br/>
              <w:t xml:space="preserve">руб. без НДС </w:t>
            </w:r>
          </w:p>
        </w:tc>
      </w:tr>
      <w:tr>
        <w:trPr>
          <w:trHeight w:val="471" w:hRule="atLeast"/>
        </w:trPr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25"/>
              <w:widowControl w:val="false"/>
              <w:tabs>
                <w:tab w:val="clear" w:pos="708"/>
                <w:tab w:val="left" w:pos="0" w:leader="none"/>
              </w:tabs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/>
                <w:kern w:val="0"/>
                <w:szCs w:val="24"/>
                <w:lang w:val="ru-RU" w:eastAsia="ru-RU" w:bidi="ar-SA"/>
              </w:rPr>
              <w:t>1 место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widowControl w:val="false"/>
              <w:spacing w:lineRule="auto" w:line="240"/>
              <w:ind w:hanging="0"/>
              <w:jc w:val="left"/>
              <w:rPr/>
            </w:pPr>
            <w:r>
              <w:rPr>
                <w:color w:val="000000"/>
                <w:sz w:val="24"/>
                <w:szCs w:val="24"/>
              </w:rPr>
              <w:t>Заявка 365185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widowControl w:val="false"/>
              <w:spacing w:lineRule="auto" w:line="240"/>
              <w:jc w:val="left"/>
              <w:rPr/>
            </w:pPr>
            <w:r>
              <w:rPr>
                <w:color w:val="000000"/>
                <w:sz w:val="24"/>
                <w:szCs w:val="24"/>
              </w:rPr>
              <w:t>16 733 871,00</w:t>
            </w:r>
          </w:p>
        </w:tc>
      </w:tr>
      <w:tr>
        <w:trPr/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25"/>
              <w:widowControl w:val="false"/>
              <w:tabs>
                <w:tab w:val="clear" w:pos="708"/>
                <w:tab w:val="left" w:pos="0" w:leader="none"/>
              </w:tabs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cs="Times New Roman"/>
                <w:kern w:val="0"/>
                <w:szCs w:val="24"/>
                <w:lang w:val="ru-RU" w:eastAsia="ru-RU" w:bidi="ar-SA"/>
              </w:rPr>
              <w:t>2 место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widowControl w:val="false"/>
              <w:spacing w:lineRule="auto" w:line="240"/>
              <w:ind w:hanging="0"/>
              <w:jc w:val="left"/>
              <w:rPr/>
            </w:pPr>
            <w:r>
              <w:rPr>
                <w:color w:val="000000"/>
                <w:sz w:val="24"/>
                <w:szCs w:val="24"/>
              </w:rPr>
              <w:t>Заявка 365632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widowControl w:val="false"/>
              <w:spacing w:lineRule="auto" w:line="240"/>
              <w:jc w:val="left"/>
              <w:rPr/>
            </w:pPr>
            <w:r>
              <w:rPr>
                <w:color w:val="000000"/>
                <w:sz w:val="24"/>
                <w:szCs w:val="24"/>
              </w:rPr>
              <w:t>16 818 385,50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5940" w:leader="none"/>
        </w:tabs>
        <w:spacing w:lineRule="auto" w:line="240"/>
        <w:ind w:left="0" w:right="0" w:hanging="0"/>
        <w:rPr>
          <w:b/>
          <w:spacing w:val="4"/>
          <w:sz w:val="24"/>
          <w:szCs w:val="24"/>
        </w:rPr>
      </w:pPr>
      <w:r>
        <w:rPr>
          <w:b/>
          <w:spacing w:val="4"/>
          <w:sz w:val="24"/>
          <w:szCs w:val="24"/>
        </w:rPr>
      </w:r>
    </w:p>
    <w:p>
      <w:pPr>
        <w:pStyle w:val="BodyTextIndent2"/>
        <w:widowControl w:val="false"/>
        <w:ind w:left="0" w:right="0" w:hanging="0"/>
        <w:rPr>
          <w:b/>
          <w:bCs/>
          <w:i/>
          <w:i/>
          <w:iCs/>
          <w:sz w:val="24"/>
        </w:rPr>
      </w:pPr>
      <w:r>
        <w:rPr>
          <w:b/>
          <w:bCs/>
          <w:i/>
          <w:iCs/>
          <w:sz w:val="24"/>
        </w:rPr>
        <w:t>ВОПРОС №4  О выборе победителя закупки</w:t>
      </w:r>
    </w:p>
    <w:p>
      <w:pPr>
        <w:pStyle w:val="Normal"/>
        <w:widowControl w:val="false"/>
        <w:spacing w:lineRule="auto" w:line="240"/>
        <w:ind w:left="0" w:right="0" w:hanging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>
      <w:pPr>
        <w:pStyle w:val="ListParagraph"/>
        <w:numPr>
          <w:ilvl w:val="0"/>
          <w:numId w:val="3"/>
        </w:numPr>
        <w:spacing w:lineRule="auto" w:line="240"/>
        <w:ind w:left="0" w:right="0" w:firstLine="284"/>
        <w:rPr>
          <w:b/>
          <w:i/>
          <w:i/>
          <w:sz w:val="24"/>
          <w:szCs w:val="24"/>
        </w:rPr>
      </w:pPr>
      <w:r>
        <w:rPr>
          <w:sz w:val="24"/>
          <w:szCs w:val="24"/>
        </w:rPr>
        <w:t xml:space="preserve">Признать Победителем закупки Участника, занявшего 1 (первое) место в ранжировке по степени предпочтительности для </w:t>
      </w:r>
      <w:r>
        <w:rPr>
          <w:b w:val="false"/>
          <w:bCs w:val="false"/>
          <w:i w:val="false"/>
          <w:iCs w:val="false"/>
          <w:sz w:val="24"/>
          <w:szCs w:val="24"/>
          <w:u w:val="none"/>
        </w:rPr>
        <w:t>Заказчика:</w:t>
      </w:r>
      <w:r>
        <w:rPr>
          <w:b/>
          <w:bCs/>
          <w:i/>
          <w:iCs/>
          <w:sz w:val="24"/>
          <w:szCs w:val="24"/>
        </w:rPr>
        <w:t xml:space="preserve"> Заявка 365185/ЗАО "ДАЛЬПРОМСЕРВИС" ИНН – 2703005782 </w:t>
      </w:r>
      <w:r>
        <w:rPr>
          <w:b w:val="false"/>
          <w:bCs w:val="false"/>
          <w:i w:val="false"/>
          <w:iCs w:val="false"/>
          <w:sz w:val="24"/>
          <w:szCs w:val="24"/>
        </w:rPr>
        <w:t>с ценой заявки не более 16 733 871,00</w:t>
      </w:r>
      <w:r>
        <w:rPr>
          <w:b/>
          <w:bCs/>
          <w:i/>
          <w:iCs/>
          <w:sz w:val="24"/>
          <w:szCs w:val="24"/>
        </w:rPr>
        <w:t xml:space="preserve"> руб. без НДС</w:t>
      </w:r>
    </w:p>
    <w:p>
      <w:pPr>
        <w:pStyle w:val="ListParagraph"/>
        <w:spacing w:lineRule="auto" w:line="240"/>
        <w:ind w:left="0" w:right="0" w:firstLine="426"/>
        <w:rPr>
          <w:b/>
          <w:bCs/>
          <w:i/>
          <w:i/>
          <w:sz w:val="24"/>
          <w:szCs w:val="24"/>
        </w:rPr>
      </w:pPr>
      <w:r>
        <w:rPr>
          <w:b/>
          <w:sz w:val="24"/>
          <w:szCs w:val="24"/>
          <w:u w:val="single"/>
        </w:rPr>
        <w:t>Предмет</w:t>
      </w:r>
      <w:r>
        <w:rPr>
          <w:sz w:val="24"/>
          <w:szCs w:val="24"/>
        </w:rPr>
        <w:t xml:space="preserve">: </w:t>
      </w:r>
      <w:r>
        <w:rPr>
          <w:b/>
          <w:bCs/>
          <w:i/>
          <w:sz w:val="24"/>
          <w:szCs w:val="24"/>
        </w:rPr>
        <w:t>Лот 115601-РЕМ ПРОД-2025-ДРСК-ХЭС ОКПД2 42.22.22.140. Выполнение работ по капитальному ремонту ВЛ 0,4 кВ Николаевского района электрических сетей структурного подразделения "Северные электрические сети", филиала "Хабаровские электрические сети" (с учетом поставки и монтажа самонесущих изолированных и защищенных проводов)</w:t>
      </w:r>
    </w:p>
    <w:p>
      <w:pPr>
        <w:pStyle w:val="ListParagraph"/>
        <w:spacing w:lineRule="auto" w:line="240"/>
        <w:ind w:left="0" w:right="0" w:firstLine="426"/>
        <w:rPr>
          <w:b w:val="false"/>
          <w:bCs w:val="false"/>
          <w:sz w:val="24"/>
          <w:szCs w:val="24"/>
        </w:rPr>
      </w:pPr>
      <w:bookmarkStart w:id="2" w:name="_Ref361320424"/>
      <w:bookmarkEnd w:id="2"/>
      <w:r>
        <w:rPr>
          <w:b/>
          <w:bCs/>
          <w:sz w:val="24"/>
          <w:szCs w:val="24"/>
          <w:u w:val="single"/>
        </w:rPr>
        <w:t>Работы выполняются</w:t>
      </w:r>
      <w:r>
        <w:rPr>
          <w:b w:val="false"/>
          <w:bCs w:val="false"/>
          <w:sz w:val="24"/>
          <w:szCs w:val="24"/>
        </w:rPr>
        <w:t xml:space="preserve">: начало выполнения Работ: «01» июня 2025г. Окончание выполнения Работ: «30» ноября 2025г.  </w:t>
      </w:r>
    </w:p>
    <w:p>
      <w:pPr>
        <w:pStyle w:val="ListParagraph"/>
        <w:spacing w:lineRule="auto" w:line="240"/>
        <w:ind w:left="0" w:right="0" w:firstLine="426"/>
        <w:rPr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Условия оплаты: </w:t>
      </w:r>
      <w:r>
        <w:rPr>
          <w:b w:val="false"/>
          <w:bCs w:val="false"/>
          <w:sz w:val="24"/>
          <w:szCs w:val="24"/>
          <w:u w:val="none"/>
        </w:rPr>
        <w:t xml:space="preserve">Платежи в размере 100% (ста процентов) от стоимости Работ выплачиваются в течение 7 (семи) рабочих дней с даты подписания Сторонами документов, указанных в пункте 4.1 Договора, на основании счёта, выставленного Подрядчиком, и с учетом пункта 3.4.2 Договора. </w:t>
      </w:r>
    </w:p>
    <w:p>
      <w:pPr>
        <w:pStyle w:val="ListParagraph"/>
        <w:numPr>
          <w:ilvl w:val="0"/>
          <w:numId w:val="3"/>
        </w:numPr>
        <w:spacing w:lineRule="auto" w:line="240"/>
        <w:ind w:left="0" w:right="0" w:firstLine="426"/>
        <w:rPr>
          <w:sz w:val="24"/>
          <w:szCs w:val="24"/>
        </w:rPr>
      </w:pPr>
      <w:r>
        <w:rPr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>
      <w:pPr>
        <w:pStyle w:val="Normal"/>
        <w:numPr>
          <w:ilvl w:val="0"/>
          <w:numId w:val="3"/>
        </w:numPr>
        <w:suppressAutoHyphens w:val="true"/>
        <w:spacing w:lineRule="auto" w:line="240"/>
        <w:ind w:left="0" w:right="0" w:firstLine="426"/>
        <w:rPr>
          <w:sz w:val="24"/>
          <w:szCs w:val="24"/>
        </w:rPr>
      </w:pPr>
      <w:r>
        <w:rPr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закупке.</w:t>
      </w:r>
    </w:p>
    <w:p>
      <w:pPr>
        <w:pStyle w:val="Normal"/>
        <w:widowControl w:val="false"/>
        <w:tabs>
          <w:tab w:val="clear" w:pos="708"/>
          <w:tab w:val="left" w:pos="5940" w:leader="none"/>
        </w:tabs>
        <w:spacing w:lineRule="auto" w:line="240"/>
        <w:ind w:left="0" w:right="0" w:hanging="0"/>
        <w:rPr>
          <w:b/>
          <w:spacing w:val="4"/>
          <w:sz w:val="24"/>
          <w:szCs w:val="24"/>
        </w:rPr>
      </w:pPr>
      <w:r>
        <w:rPr>
          <w:b/>
          <w:spacing w:val="4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5940" w:leader="none"/>
        </w:tabs>
        <w:spacing w:lineRule="auto" w:line="240"/>
        <w:ind w:left="0" w:right="0" w:hanging="0"/>
        <w:rPr>
          <w:b/>
          <w:spacing w:val="4"/>
          <w:sz w:val="24"/>
          <w:szCs w:val="24"/>
        </w:rPr>
      </w:pPr>
      <w:r>
        <w:rPr>
          <w:b/>
          <w:spacing w:val="4"/>
          <w:sz w:val="24"/>
          <w:szCs w:val="24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tbl>
      <w:tblPr>
        <w:tblW w:w="5000" w:type="pct"/>
        <w:jc w:val="left"/>
        <w:tblInd w:w="-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noVBand="0" w:noHBand="0" w:lastColumn="0" w:firstColumn="0" w:lastRow="0" w:firstRow="0"/>
      </w:tblPr>
      <w:tblGrid>
        <w:gridCol w:w="4690"/>
        <w:gridCol w:w="4946"/>
      </w:tblGrid>
      <w:tr>
        <w:trPr>
          <w:trHeight w:val="136" w:hRule="atLeast"/>
        </w:trPr>
        <w:tc>
          <w:tcPr>
            <w:tcW w:w="4690" w:type="dxa"/>
            <w:tcBorders/>
          </w:tcPr>
          <w:p>
            <w:pPr>
              <w:pStyle w:val="BodyText"/>
              <w:widowControl w:val="false"/>
              <w:rPr>
                <w:i/>
                <w:i/>
                <w:sz w:val="24"/>
              </w:rPr>
            </w:pPr>
            <w:r>
              <w:rPr>
                <w:b/>
                <w:bCs/>
                <w:i/>
                <w:sz w:val="24"/>
              </w:rPr>
              <w:t xml:space="preserve">Секретарь комиссии </w:t>
            </w:r>
          </w:p>
        </w:tc>
        <w:tc>
          <w:tcPr>
            <w:tcW w:w="4946" w:type="dxa"/>
            <w:tcBorders/>
          </w:tcPr>
          <w:p>
            <w:pPr>
              <w:pStyle w:val="ListNumber"/>
              <w:widowControl w:val="false"/>
              <w:spacing w:lineRule="auto" w:line="240" w:before="0" w:after="0"/>
              <w:ind w:left="505" w:hanging="505"/>
              <w:rPr>
                <w:sz w:val="24"/>
              </w:rPr>
            </w:pPr>
            <w:r>
              <w:rPr>
                <w:b/>
                <w:i/>
                <w:sz w:val="24"/>
              </w:rPr>
              <w:t>____________________               Игнатова Т.А.</w:t>
            </w:r>
          </w:p>
        </w:tc>
      </w:tr>
    </w:tbl>
    <w:p>
      <w:pPr>
        <w:pStyle w:val="BodyText"/>
        <w:jc w:val="both"/>
        <w:rPr>
          <w:i/>
          <w:i/>
          <w:sz w:val="20"/>
          <w:szCs w:val="20"/>
        </w:rPr>
      </w:pPr>
      <w:r>
        <w:rPr>
          <w:i/>
          <w:sz w:val="20"/>
          <w:szCs w:val="20"/>
        </w:rPr>
      </w:r>
      <w:bookmarkStart w:id="3" w:name="_GoBack"/>
      <w:bookmarkStart w:id="4" w:name="_GoBack"/>
      <w:bookmarkEnd w:id="4"/>
    </w:p>
    <w:p>
      <w:pPr>
        <w:pStyle w:val="BodyText"/>
        <w:jc w:val="both"/>
        <w:rPr>
          <w:i/>
          <w:i/>
          <w:sz w:val="20"/>
          <w:szCs w:val="20"/>
        </w:rPr>
      </w:pPr>
      <w:r>
        <w:rPr>
          <w:i/>
          <w:sz w:val="20"/>
          <w:szCs w:val="20"/>
        </w:rPr>
      </w:r>
    </w:p>
    <w:p>
      <w:pPr>
        <w:pStyle w:val="BodyText"/>
        <w:jc w:val="both"/>
        <w:rPr>
          <w:i/>
          <w:i/>
          <w:sz w:val="20"/>
          <w:szCs w:val="20"/>
        </w:rPr>
      </w:pPr>
      <w:r>
        <w:rPr>
          <w:i/>
          <w:sz w:val="20"/>
          <w:szCs w:val="20"/>
        </w:rPr>
      </w:r>
    </w:p>
    <w:p>
      <w:pPr>
        <w:pStyle w:val="BodyText"/>
        <w:jc w:val="both"/>
        <w:rPr>
          <w:i/>
          <w:i/>
          <w:sz w:val="20"/>
          <w:szCs w:val="20"/>
        </w:rPr>
      </w:pPr>
      <w:r>
        <w:rPr>
          <w:i/>
          <w:sz w:val="20"/>
          <w:szCs w:val="20"/>
        </w:rPr>
      </w:r>
    </w:p>
    <w:p>
      <w:pPr>
        <w:pStyle w:val="BodyText"/>
        <w:jc w:val="both"/>
        <w:rPr>
          <w:i/>
          <w:i/>
          <w:color w:val="000000"/>
          <w:sz w:val="20"/>
        </w:rPr>
      </w:pPr>
      <w:r>
        <w:rPr>
          <w:i/>
          <w:sz w:val="20"/>
          <w:szCs w:val="20"/>
        </w:rPr>
        <w:t xml:space="preserve">8(4162)  </w:t>
      </w:r>
      <w:r>
        <w:rPr>
          <w:i/>
          <w:color w:val="000000"/>
          <w:sz w:val="20"/>
        </w:rPr>
        <w:t>397-307</w:t>
      </w:r>
    </w:p>
    <w:p>
      <w:pPr>
        <w:pStyle w:val="BodyText"/>
        <w:jc w:val="both"/>
        <w:rPr>
          <w:sz w:val="24"/>
        </w:rPr>
      </w:pPr>
      <w:r>
        <w:rPr>
          <w:i/>
          <w:color w:val="000000"/>
          <w:sz w:val="20"/>
        </w:rPr>
        <w:t xml:space="preserve"> </w:t>
      </w:r>
      <w:r>
        <w:rPr>
          <w:sz w:val="20"/>
          <w:szCs w:val="20"/>
        </w:rPr>
        <w:t>ignatova-ta@drsk.ru</w:t>
      </w:r>
    </w:p>
    <w:sectPr>
      <w:headerReference w:type="default" r:id="rId3"/>
      <w:footerReference w:type="default" r:id="rId4"/>
      <w:type w:val="nextPage"/>
      <w:pgSz w:w="11906" w:h="16838"/>
      <w:pgMar w:left="1418" w:right="851" w:gutter="0" w:header="567" w:top="851" w:footer="709" w:bottom="851"/>
      <w:pgNumType w:start="1"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367762086"/>
    </w:sdtPr>
    <w:sdtContent>
      <w:p>
        <w:pPr>
          <w:pStyle w:val="Footer"/>
          <w:jc w:val="right"/>
          <w:rPr/>
        </w:pPr>
        <w:r>
          <w:rPr>
            <w:sz w:val="16"/>
            <w:szCs w:val="16"/>
          </w:rPr>
          <w:t xml:space="preserve">Страница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PAGE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  <w:r>
          <w:rPr>
            <w:sz w:val="16"/>
            <w:szCs w:val="16"/>
          </w:rPr>
          <w:t xml:space="preserve"> из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NUMPAGES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i/>
        <w:i/>
        <w:sz w:val="20"/>
      </w:rPr>
    </w:pPr>
    <w:r>
      <w:rPr>
        <w:i/>
        <w:sz w:val="20"/>
      </w:rPr>
      <w:t xml:space="preserve">Лот  115601-РЕМ ПРОД-2025-ДРСК-ХЭС  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/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i w:val="false"/>
        <w:b w:val="fals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sz w:val="24"/>
        <w:i w:val="false"/>
        <w:b w:val="fals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4"/>
    <w:lvlOverride w:ilvl="0">
      <w:startOverride w:val="1"/>
    </w:lvlOverride>
  </w:num>
  <w:num w:numId="8">
    <w:abstractNumId w:val="4"/>
    <w:lvlOverride w:ilvl="0">
      <w:lvl w:ilvl="0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hanging="0"/>
        </w:pPr>
        <w:rPr>
          <w:sz w:val="24"/>
          <w:i w:val="false"/>
          <w:b w:val="false"/>
        </w:rPr>
      </w:lvl>
      <w:startOverride w:val="1"/>
    </w:lvlOverride>
    <w:lvlOverride w:ilvl="0">
      <w:startOverride w:val="1"/>
    </w:lvlOverride>
    <w:lvlOverride w:ilvl="1">
      <w:lvl w:ilvl="1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hanging="0"/>
        </w:pPr>
        <w:rPr/>
      </w:lvl>
    </w:lvlOverride>
    <w:lvlOverride w:ilvl="1">
      <w:startOverride w:val="1"/>
    </w:lvlOverride>
    <w:lvlOverride w:ilvl="2">
      <w:lvl w:ilvl="2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hanging="0"/>
        </w:pPr>
        <w:rPr/>
      </w:lvl>
    </w:lvlOverride>
    <w:lvlOverride w:ilvl="2">
      <w:startOverride w:val="1"/>
    </w:lvlOverride>
    <w:lvlOverride w:ilvl="3">
      <w:lvl w:ilvl="3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hanging="0"/>
        </w:pPr>
        <w:rPr/>
      </w:lvl>
    </w:lvlOverride>
    <w:lvlOverride w:ilvl="3">
      <w:startOverride w:val="1"/>
    </w:lvlOverride>
    <w:lvlOverride w:ilvl="4">
      <w:lvl w:ilvl="4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hanging="0"/>
        </w:pPr>
        <w:rPr/>
      </w:lvl>
    </w:lvlOverride>
    <w:lvlOverride w:ilvl="4">
      <w:startOverride w:val="1"/>
    </w:lvlOverride>
    <w:lvlOverride w:ilvl="5">
      <w:lvl w:ilvl="5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hanging="0"/>
        </w:pPr>
        <w:rPr/>
      </w:lvl>
    </w:lvlOverride>
    <w:lvlOverride w:ilvl="5">
      <w:startOverride w:val="1"/>
    </w:lvlOverride>
    <w:lvlOverride w:ilvl="6">
      <w:lvl w:ilvl="6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hanging="0"/>
        </w:pPr>
        <w:rPr/>
      </w:lvl>
    </w:lvlOverride>
    <w:lvlOverride w:ilvl="6">
      <w:startOverride w:val="1"/>
    </w:lvlOverride>
    <w:lvlOverride w:ilvl="7">
      <w:lvl w:ilvl="7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hanging="0"/>
        </w:pPr>
        <w:rPr/>
      </w:lvl>
    </w:lvlOverride>
    <w:lvlOverride w:ilvl="7">
      <w:startOverride w:val="1"/>
    </w:lvlOverride>
    <w:lvlOverride w:ilvl="8">
      <w:lvl w:ilvl="8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hanging="0"/>
        </w:pPr>
        <w:rPr/>
      </w:lvl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13ab2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3c690b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21"/>
    <w:uiPriority w:val="99"/>
    <w:qFormat/>
    <w:rsid w:val="00b77a30"/>
    <w:pPr>
      <w:keepNext w:val="true"/>
      <w:tabs>
        <w:tab w:val="clear" w:pos="708"/>
        <w:tab w:val="left" w:pos="1134" w:leader="none"/>
      </w:tabs>
      <w:suppressAutoHyphens w:val="true"/>
      <w:spacing w:lineRule="auto" w:line="240" w:before="360" w:after="120"/>
      <w:ind w:left="1134" w:hanging="1134"/>
      <w:jc w:val="left"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3"/>
    <w:qFormat/>
    <w:rsid w:val="003c690b"/>
    <w:pPr>
      <w:keepNext w:val="true"/>
      <w:numPr>
        <w:ilvl w:val="2"/>
        <w:numId w:val="1"/>
      </w:numPr>
      <w:suppressAutoHyphens w:val="true"/>
      <w:spacing w:lineRule="auto" w:line="240" w:before="120" w:after="120"/>
      <w:jc w:val="left"/>
      <w:outlineLvl w:val="2"/>
    </w:pPr>
    <w:rPr>
      <w:b/>
    </w:rPr>
  </w:style>
  <w:style w:type="paragraph" w:styleId="Heading4">
    <w:name w:val="Heading 4"/>
    <w:basedOn w:val="Normal"/>
    <w:next w:val="Normal"/>
    <w:link w:val="4"/>
    <w:qFormat/>
    <w:rsid w:val="003c690b"/>
    <w:pPr>
      <w:keepNext w:val="true"/>
      <w:numPr>
        <w:ilvl w:val="3"/>
        <w:numId w:val="1"/>
      </w:numPr>
      <w:tabs>
        <w:tab w:val="clear" w:pos="708"/>
        <w:tab w:val="left" w:pos="1134" w:leader="none"/>
      </w:tabs>
      <w:suppressAutoHyphens w:val="true"/>
      <w:spacing w:lineRule="auto" w:line="240" w:before="240" w:after="120"/>
      <w:ind w:left="1134" w:firstLine="567"/>
      <w:outlineLvl w:val="3"/>
    </w:pPr>
    <w:rPr>
      <w:b/>
      <w:i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Заголовок 3 Знак"/>
    <w:basedOn w:val="DefaultParagraphFont"/>
    <w:qFormat/>
    <w:rsid w:val="003c690b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4" w:customStyle="1">
    <w:name w:val="Заголовок 4 Знак"/>
    <w:basedOn w:val="DefaultParagraphFont"/>
    <w:qFormat/>
    <w:rsid w:val="003c690b"/>
    <w:rPr>
      <w:rFonts w:ascii="Times New Roman" w:hAnsi="Times New Roman" w:eastAsia="Times New Roman" w:cs="Times New Roman"/>
      <w:b/>
      <w:i/>
      <w:sz w:val="28"/>
      <w:szCs w:val="20"/>
      <w:lang w:eastAsia="ru-RU"/>
    </w:rPr>
  </w:style>
  <w:style w:type="character" w:styleId="Style5" w:customStyle="1">
    <w:name w:val="комментарий"/>
    <w:qFormat/>
    <w:rsid w:val="003c690b"/>
    <w:rPr>
      <w:b/>
      <w:i/>
      <w:shd w:fill="FFFF99" w:val="clear"/>
    </w:rPr>
  </w:style>
  <w:style w:type="character" w:styleId="Style6" w:customStyle="1">
    <w:name w:val="Основной текст Знак"/>
    <w:basedOn w:val="DefaultParagraphFont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" w:customStyle="1">
    <w:name w:val="Заголовок 1 Знак"/>
    <w:basedOn w:val="DefaultParagraphFont"/>
    <w:uiPriority w:val="9"/>
    <w:qFormat/>
    <w:rsid w:val="003c690b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rong">
    <w:name w:val="Strong"/>
    <w:qFormat/>
    <w:rsid w:val="003c690b"/>
    <w:rPr>
      <w:b/>
      <w:bCs/>
    </w:rPr>
  </w:style>
  <w:style w:type="character" w:styleId="Hyperlink">
    <w:name w:val="Hyperlink"/>
    <w:unhideWhenUsed/>
    <w:rsid w:val="00c02479"/>
    <w:rPr>
      <w:color w:val="0000FF"/>
      <w:u w:val="single"/>
    </w:rPr>
  </w:style>
  <w:style w:type="character" w:styleId="Style7" w:customStyle="1">
    <w:name w:val="Текст выноски Знак"/>
    <w:basedOn w:val="DefaultParagraphFont"/>
    <w:link w:val="BalloonText"/>
    <w:uiPriority w:val="99"/>
    <w:semiHidden/>
    <w:qFormat/>
    <w:rsid w:val="00da4f21"/>
    <w:rPr>
      <w:rFonts w:ascii="Tahoma" w:hAnsi="Tahoma" w:eastAsia="Times New Roman" w:cs="Tahoma"/>
      <w:sz w:val="16"/>
      <w:szCs w:val="16"/>
      <w:lang w:eastAsia="ru-RU"/>
    </w:rPr>
  </w:style>
  <w:style w:type="character" w:styleId="Style8" w:customStyle="1">
    <w:name w:val="Верх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9" w:customStyle="1">
    <w:name w:val="Ниж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1" w:customStyle="1">
    <w:name w:val="Заголовок 2 Знак"/>
    <w:basedOn w:val="DefaultParagraphFont"/>
    <w:qFormat/>
    <w:rsid w:val="00b77a30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22" w:customStyle="1">
    <w:name w:val="Пункт Знак2"/>
    <w:link w:val="Style17"/>
    <w:qFormat/>
    <w:rsid w:val="00b77a30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0" w:customStyle="1">
    <w:name w:val="Абзац списка Знак"/>
    <w:link w:val="ListParagraph"/>
    <w:uiPriority w:val="34"/>
    <w:qFormat/>
    <w:locked/>
    <w:rsid w:val="00be270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11" w:customStyle="1">
    <w:name w:val="Подпункт Знак1"/>
    <w:link w:val="Style18"/>
    <w:qFormat/>
    <w:rsid w:val="00e168dc"/>
    <w:rPr>
      <w:rFonts w:ascii="Times New Roman" w:hAnsi="Times New Roman" w:eastAsia="Times New Roman" w:cs="Times New Roman"/>
      <w:sz w:val="26"/>
      <w:szCs w:val="26"/>
      <w:lang w:eastAsia="ru-RU"/>
    </w:rPr>
  </w:style>
  <w:style w:type="character" w:styleId="12" w:customStyle="1">
    <w:name w:val="Пункт Знак1"/>
    <w:qFormat/>
    <w:locked/>
    <w:rsid w:val="00f56ccc"/>
    <w:rPr>
      <w:rFonts w:ascii="Times New Roman" w:hAnsi="Times New Roman" w:eastAsia="Times New Roman"/>
      <w:sz w:val="28"/>
    </w:rPr>
  </w:style>
  <w:style w:type="character" w:styleId="Style11">
    <w:name w:val="[РГ] Инструкция для организатора"/>
    <w:basedOn w:val="DefaultParagraphFont"/>
    <w:qFormat/>
    <w:rPr>
      <w:i/>
      <w:iCs/>
      <w:shd w:fill="FFFF99" w:val="clear"/>
      <w:lang w:val="ru-RU"/>
    </w:rPr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6"/>
    <w:rsid w:val="003c690b"/>
    <w:pPr>
      <w:tabs>
        <w:tab w:val="clear" w:pos="708"/>
        <w:tab w:val="right" w:pos="9360" w:leader="none"/>
      </w:tabs>
      <w:spacing w:lineRule="auto" w:line="240"/>
      <w:ind w:hanging="0"/>
      <w:jc w:val="left"/>
    </w:pPr>
    <w:rPr>
      <w:szCs w:val="24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Lohit Devanagari"/>
    </w:rPr>
  </w:style>
  <w:style w:type="paragraph" w:styleId="BodyTextIndent2">
    <w:name w:val="Body Text Indent 2"/>
    <w:basedOn w:val="Normal"/>
    <w:link w:val="2"/>
    <w:qFormat/>
    <w:rsid w:val="003c690b"/>
    <w:pPr>
      <w:spacing w:lineRule="auto" w:line="240"/>
    </w:pPr>
    <w:rPr>
      <w:szCs w:val="24"/>
    </w:rPr>
  </w:style>
  <w:style w:type="paragraph" w:styleId="13" w:customStyle="1">
    <w:name w:val="Стиль Заголовок 1 + по ширине"/>
    <w:basedOn w:val="Heading1"/>
    <w:qFormat/>
    <w:rsid w:val="003c690b"/>
    <w:pPr>
      <w:numPr>
        <w:ilvl w:val="0"/>
        <w:numId w:val="1"/>
      </w:numPr>
      <w:suppressAutoHyphens w:val="true"/>
      <w:spacing w:lineRule="auto" w:line="240" w:before="480" w:after="240"/>
    </w:pPr>
    <w:rPr>
      <w:rFonts w:ascii="Arial" w:hAnsi="Arial" w:eastAsia="Times New Roman" w:cs="Times New Roman"/>
      <w:color w:val="auto"/>
      <w:kern w:val="2"/>
      <w:sz w:val="40"/>
      <w:szCs w:val="20"/>
    </w:rPr>
  </w:style>
  <w:style w:type="paragraph" w:styleId="ListNumber">
    <w:name w:val="List Number"/>
    <w:basedOn w:val="Normal"/>
    <w:qFormat/>
    <w:rsid w:val="003c690b"/>
    <w:pPr>
      <w:spacing w:before="60" w:after="0"/>
      <w:ind w:hanging="0"/>
    </w:pPr>
    <w:rPr>
      <w:szCs w:val="24"/>
    </w:rPr>
  </w:style>
  <w:style w:type="paragraph" w:styleId="NormalWeb">
    <w:name w:val="Normal (Web)"/>
    <w:basedOn w:val="Normal"/>
    <w:qFormat/>
    <w:rsid w:val="003c690b"/>
    <w:pPr>
      <w:spacing w:lineRule="auto" w:line="240" w:beforeAutospacing="1" w:afterAutospacing="1"/>
      <w:ind w:hanging="0"/>
      <w:jc w:val="left"/>
    </w:pPr>
    <w:rPr>
      <w:sz w:val="24"/>
      <w:szCs w:val="24"/>
    </w:rPr>
  </w:style>
  <w:style w:type="paragraph" w:styleId="ListParagraph">
    <w:name w:val="List Paragraph"/>
    <w:basedOn w:val="Normal"/>
    <w:link w:val="Style10"/>
    <w:uiPriority w:val="34"/>
    <w:qFormat/>
    <w:rsid w:val="003c690b"/>
    <w:pPr>
      <w:spacing w:before="0" w:after="0"/>
      <w:ind w:left="720" w:firstLine="567"/>
      <w:contextualSpacing/>
    </w:pPr>
    <w:rPr/>
  </w:style>
  <w:style w:type="paragraph" w:styleId="211" w:customStyle="1">
    <w:name w:val="Основной текст с отступом 21"/>
    <w:basedOn w:val="Normal"/>
    <w:qFormat/>
    <w:rsid w:val="00c02479"/>
    <w:pPr>
      <w:overflowPunct w:val="true"/>
      <w:spacing w:lineRule="auto" w:line="240"/>
      <w:jc w:val="left"/>
      <w:textAlignment w:val="baseline"/>
    </w:pPr>
    <w:rPr>
      <w:sz w:val="24"/>
    </w:rPr>
  </w:style>
  <w:style w:type="paragraph" w:styleId="BalloonText">
    <w:name w:val="Balloon Text"/>
    <w:basedOn w:val="Normal"/>
    <w:link w:val="Style7"/>
    <w:uiPriority w:val="99"/>
    <w:semiHidden/>
    <w:unhideWhenUsed/>
    <w:qFormat/>
    <w:rsid w:val="00da4f21"/>
    <w:pPr>
      <w:spacing w:lineRule="auto" w:line="240"/>
    </w:pPr>
    <w:rPr>
      <w:rFonts w:ascii="Tahoma" w:hAnsi="Tahoma" w:cs="Tahoma"/>
      <w:sz w:val="16"/>
      <w:szCs w:val="16"/>
    </w:rPr>
  </w:style>
  <w:style w:type="paragraph" w:styleId="Style14">
    <w:name w:val="Колонтитул"/>
    <w:basedOn w:val="Normal"/>
    <w:qFormat/>
    <w:pPr/>
    <w:rPr/>
  </w:style>
  <w:style w:type="paragraph" w:styleId="Header">
    <w:name w:val="Header"/>
    <w:basedOn w:val="Normal"/>
    <w:link w:val="Style8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9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Style15" w:customStyle="1">
    <w:name w:val="Таблица шапка"/>
    <w:basedOn w:val="Normal"/>
    <w:qFormat/>
    <w:rsid w:val="00df726d"/>
    <w:pPr>
      <w:keepNext w:val="true"/>
      <w:snapToGrid w:val="false"/>
      <w:spacing w:lineRule="auto" w:line="240" w:before="40" w:after="40"/>
      <w:ind w:left="57" w:right="57" w:hanging="0"/>
      <w:jc w:val="left"/>
    </w:pPr>
    <w:rPr>
      <w:sz w:val="22"/>
    </w:rPr>
  </w:style>
  <w:style w:type="paragraph" w:styleId="25" w:customStyle="1">
    <w:name w:val="Основной текст 25"/>
    <w:basedOn w:val="Normal"/>
    <w:qFormat/>
    <w:rsid w:val="00df726d"/>
    <w:pPr>
      <w:spacing w:lineRule="auto" w:line="240"/>
    </w:pPr>
    <w:rPr>
      <w:sz w:val="24"/>
    </w:rPr>
  </w:style>
  <w:style w:type="paragraph" w:styleId="Style16">
    <w:name w:val="Содержимое таблицы"/>
    <w:basedOn w:val="Normal"/>
    <w:qFormat/>
    <w:pPr>
      <w:widowControl w:val="false"/>
      <w:suppressLineNumbers/>
    </w:pPr>
    <w:rPr/>
  </w:style>
  <w:style w:type="paragraph" w:styleId="Style17" w:customStyle="1">
    <w:name w:val="Пункт"/>
    <w:basedOn w:val="Normal"/>
    <w:link w:val="22"/>
    <w:qFormat/>
    <w:rsid w:val="00b77a30"/>
    <w:pPr>
      <w:tabs>
        <w:tab w:val="clear" w:pos="708"/>
        <w:tab w:val="left" w:pos="1134" w:leader="none"/>
      </w:tabs>
      <w:ind w:left="1134" w:hanging="1134"/>
    </w:pPr>
    <w:rPr/>
  </w:style>
  <w:style w:type="paragraph" w:styleId="-2" w:customStyle="1">
    <w:name w:val="Пункт-2"/>
    <w:basedOn w:val="Style17"/>
    <w:uiPriority w:val="99"/>
    <w:qFormat/>
    <w:rsid w:val="00b77a30"/>
    <w:pPr>
      <w:keepNext w:val="true"/>
      <w:tabs>
        <w:tab w:val="left" w:pos="1080" w:leader="none"/>
        <w:tab w:val="left" w:pos="1134" w:leader="none"/>
      </w:tabs>
      <w:ind w:left="360" w:hanging="360"/>
      <w:outlineLvl w:val="2"/>
    </w:pPr>
    <w:rPr>
      <w:b/>
    </w:rPr>
  </w:style>
  <w:style w:type="paragraph" w:styleId="Tabletext" w:customStyle="1">
    <w:name w:val="Table_text"/>
    <w:basedOn w:val="Normal"/>
    <w:qFormat/>
    <w:rsid w:val="00b77a30"/>
    <w:pPr>
      <w:spacing w:lineRule="auto" w:line="240"/>
      <w:ind w:hanging="0"/>
    </w:pPr>
    <w:rPr>
      <w:sz w:val="20"/>
      <w:szCs w:val="24"/>
    </w:rPr>
  </w:style>
  <w:style w:type="paragraph" w:styleId="Tableheader" w:customStyle="1">
    <w:name w:val="Table_header"/>
    <w:basedOn w:val="Normal"/>
    <w:qFormat/>
    <w:rsid w:val="00b77a30"/>
    <w:pPr>
      <w:spacing w:lineRule="auto" w:line="240" w:before="120" w:after="0"/>
      <w:ind w:hanging="0"/>
    </w:pPr>
    <w:rPr>
      <w:b/>
      <w:sz w:val="20"/>
      <w:szCs w:val="24"/>
    </w:rPr>
  </w:style>
  <w:style w:type="paragraph" w:styleId="Style18" w:customStyle="1">
    <w:name w:val="Подпункт"/>
    <w:basedOn w:val="Style17"/>
    <w:link w:val="11"/>
    <w:qFormat/>
    <w:rsid w:val="00e168dc"/>
    <w:pPr>
      <w:spacing w:lineRule="auto" w:line="240" w:before="120" w:after="0"/>
    </w:pPr>
    <w:rPr>
      <w:sz w:val="26"/>
      <w:szCs w:val="26"/>
    </w:rPr>
  </w:style>
  <w:style w:type="paragraph" w:styleId="Style19">
    <w:name w:val="[РГ] Текст"/>
    <w:basedOn w:val="Normal"/>
    <w:qFormat/>
    <w:pPr>
      <w:jc w:val="both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">
    <w:name w:val="Сетка таблицы10"/>
    <w:basedOn w:val="a1"/>
    <w:uiPriority w:val="59"/>
    <w:rsid w:val="00673bb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">
    <w:name w:val="Сетка таблицы3"/>
    <w:basedOn w:val="a1"/>
    <w:uiPriority w:val="59"/>
    <w:rsid w:val="00b306d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">
    <w:name w:val="Сетка таблицы4"/>
    <w:basedOn w:val="a1"/>
    <w:uiPriority w:val="59"/>
    <w:rsid w:val="003c4a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Сетка таблицы5"/>
    <w:basedOn w:val="a1"/>
    <w:uiPriority w:val="59"/>
    <w:rsid w:val="00344bf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B4BD3-2A0A-4197-8CBC-255CFF2B4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Application>AlterOffice/3.3.1.3$Linux_X86_64 LibreOffice_project/90d829a0d92d6015ad4fa014ce4f460a7fe6c0ba</Application>
  <AppVersion>15.0000</AppVersion>
  <Pages>2</Pages>
  <Words>542</Words>
  <Characters>3666</Characters>
  <CharactersWithSpaces>4375</CharactersWithSpaces>
  <Paragraphs>74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2024-10-22T09:25:00Z</dcterms:created>
  <dc:creator>okzt5</dc:creator>
  <dc:description/>
  <dc:language>ru-RU</dc:language>
  <cp:lastModifiedBy>ignatova_ta</cp:lastModifiedBy>
  <cp:lastPrinted>2020-09-29T05:36:00Z</cp:lastPrinted>
  <dcterms:modified xsi:type="dcterms:W3CDTF">2025-04-14T15:32:03Z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